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C4" w:rsidRDefault="00740EC4" w:rsidP="00740EC4">
      <w:pPr>
        <w:pStyle w:val="NormalWeb"/>
        <w:jc w:val="center"/>
        <w:rPr>
          <w:rStyle w:val="Gl"/>
          <w:rFonts w:ascii="Verdana" w:hAnsi="Verdana"/>
          <w:color w:val="333333"/>
        </w:rPr>
      </w:pPr>
      <w:r>
        <w:rPr>
          <w:rStyle w:val="Gl"/>
          <w:rFonts w:ascii="Verdana" w:hAnsi="Verdana" w:cs="Helvetica"/>
          <w:color w:val="333333"/>
          <w:sz w:val="20"/>
          <w:szCs w:val="20"/>
        </w:rPr>
        <w:t>TMMOB ZİRAAT MÜHENDİSLERİ ODASI</w:t>
      </w:r>
    </w:p>
    <w:p w:rsidR="00740EC4" w:rsidRDefault="00740EC4" w:rsidP="00740EC4">
      <w:pPr>
        <w:pStyle w:val="yiv4653788345msonormal"/>
        <w:spacing w:after="0" w:afterAutospacing="0"/>
        <w:jc w:val="center"/>
        <w:rPr>
          <w:sz w:val="17"/>
          <w:szCs w:val="17"/>
        </w:rPr>
      </w:pPr>
      <w:r>
        <w:rPr>
          <w:rFonts w:ascii="Verdana" w:hAnsi="Verdana" w:cs="Helvetica"/>
          <w:b/>
          <w:bCs/>
          <w:color w:val="333333"/>
          <w:sz w:val="17"/>
          <w:szCs w:val="17"/>
        </w:rPr>
        <w:t>44. DÖNEM 1. DANIŞMA KURULU TOPLANTISI SONUÇ BİLDİRGESİ</w:t>
      </w:r>
    </w:p>
    <w:p w:rsidR="00740EC4" w:rsidRDefault="00740EC4" w:rsidP="00740EC4">
      <w:pPr>
        <w:pStyle w:val="yiv4653788345msonormal"/>
        <w:spacing w:after="0" w:afterAutospacing="0"/>
        <w:rPr>
          <w:rFonts w:ascii="Verdana" w:hAnsi="Verdana" w:cs="Helvetica"/>
          <w:color w:val="333333"/>
          <w:sz w:val="17"/>
          <w:szCs w:val="17"/>
        </w:rPr>
      </w:pPr>
      <w:r>
        <w:rPr>
          <w:rFonts w:ascii="Verdana" w:hAnsi="Verdana" w:cs="Helvetica"/>
          <w:color w:val="333333"/>
          <w:sz w:val="17"/>
          <w:szCs w:val="17"/>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TMMOB Ziraat Mühendisleri Odası, 44. Dönem 1. Danışma Kurulu`nu 24 26 Ekim 2014 tarihleri arasında Manisa</w:t>
      </w:r>
      <w:proofErr w:type="gramStart"/>
      <w:r>
        <w:rPr>
          <w:rFonts w:ascii="Verdana" w:hAnsi="Verdana" w:cs="Helvetica"/>
          <w:color w:val="333333"/>
          <w:sz w:val="17"/>
          <w:szCs w:val="17"/>
        </w:rPr>
        <w:t>`</w:t>
      </w:r>
      <w:proofErr w:type="gramEnd"/>
      <w:r>
        <w:rPr>
          <w:rFonts w:ascii="Verdana" w:hAnsi="Verdana" w:cs="Helvetica"/>
          <w:color w:val="333333"/>
          <w:sz w:val="17"/>
          <w:szCs w:val="17"/>
        </w:rPr>
        <w:t>da gerçekleştirmiştir. Toplantıda; ülkemiz tarımının içinde bulunduğu durum ile mesleki alanımızı ilgilendiren güncel gelişmeler tartışılmış, çözüm yolları üzerinde durulmuş ve özetle aşağıdaki değerlendirmelerde bulunulmuştur.</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 xml:space="preserve">Türkiye tarımında özellikle son çeyrek asırdır uygulanan </w:t>
      </w:r>
      <w:proofErr w:type="spellStart"/>
      <w:r>
        <w:rPr>
          <w:rFonts w:ascii="Verdana" w:hAnsi="Verdana" w:cs="Helvetica"/>
          <w:color w:val="333333"/>
          <w:sz w:val="17"/>
          <w:szCs w:val="17"/>
        </w:rPr>
        <w:t>neo</w:t>
      </w:r>
      <w:proofErr w:type="spellEnd"/>
      <w:r>
        <w:rPr>
          <w:rFonts w:ascii="Verdana" w:hAnsi="Verdana" w:cs="Helvetica"/>
          <w:color w:val="333333"/>
          <w:sz w:val="17"/>
          <w:szCs w:val="17"/>
        </w:rPr>
        <w:t>-liberal politikalar çerçevesinde çiftçimize yapılan yetersiz desteklemeler nedeniyle üretim kısıtlanmış; altyapı yatırımları ihmal edilmiş; tarımın iklim koşullarına bağımlı yapısı devam etmiştir. 2013-2014 tarım yılında yaşanan meteorolojik olumsuzluklar nedeniyle bitkisel üretimde bir önceki yıla göre önemli gerilemeler olmuş; buğday üretimi %13,8, arpa üretimi %20,3, nohut üretimi %11,1, kırmızı mercimek üretimi %16,5, tütün üretimi %22,2, kayısı üretimi %65,4, fındık üretimi ise %25 oranında düşmüştür. Yaşanan şiddetli kuraklığa karşın ekonomik ölçütlerde sulanabilir tarım arazilerimizin %30`</w:t>
      </w:r>
      <w:proofErr w:type="gramStart"/>
      <w:r>
        <w:rPr>
          <w:rFonts w:ascii="Verdana" w:hAnsi="Verdana" w:cs="Helvetica"/>
          <w:color w:val="333333"/>
          <w:sz w:val="17"/>
          <w:szCs w:val="17"/>
        </w:rPr>
        <w:t>dan</w:t>
      </w:r>
      <w:proofErr w:type="gramEnd"/>
      <w:r>
        <w:rPr>
          <w:rFonts w:ascii="Verdana" w:hAnsi="Verdana" w:cs="Helvetica"/>
          <w:color w:val="333333"/>
          <w:sz w:val="17"/>
          <w:szCs w:val="17"/>
        </w:rPr>
        <w:t xml:space="preserve"> fazlası hala sulama yatırımlarının yapılmasını beklemektedir.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Kuraklığın tarım alanları dışında mera alanlarına olan etkisi de göz ardı edilemez. Yem bitkileri gibi yaprak aksamı yüksek olan bitkiler hafif kuraklıklardan dahi zarar görmektedirler. Bu kapsamda, kuraklığın mera alanlarındaki etkilerinin ölçümü ve değerlendirilmesinin yapılması bu konuda Tarımsal Kuraklıkla Mücadele Eylem Planı tedbirleri içinde meralara ilişkin önlemlerin acilen alınması ve kuraklığa dayanıklı yem bitkisi çeşitlerinin ıslah edilerek geliştirilmesi hayvancılığımız ve doğal kaynaklarımızdaki tahribatı durdurmak açısından büyük önem taşımaktadır.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Yasa gereği odamız temsilcilerinin de yer aldığı Toprak Koruma Kurulları fiilen tarım arazilerinin tarım dışı amaçla kullanımı taleplerinin sekretaryası gibi çalışmaktadır. Bilindiği üzere 5403 Sayılı Toprak Koruma ve Arazi Kullanım Kanunu</w:t>
      </w:r>
      <w:proofErr w:type="gramStart"/>
      <w:r>
        <w:rPr>
          <w:rFonts w:ascii="Verdana" w:hAnsi="Verdana" w:cs="Helvetica"/>
          <w:color w:val="333333"/>
          <w:sz w:val="17"/>
          <w:szCs w:val="17"/>
        </w:rPr>
        <w:t>`</w:t>
      </w:r>
      <w:proofErr w:type="spellStart"/>
      <w:proofErr w:type="gramEnd"/>
      <w:r>
        <w:rPr>
          <w:rFonts w:ascii="Verdana" w:hAnsi="Verdana" w:cs="Helvetica"/>
          <w:color w:val="333333"/>
          <w:sz w:val="17"/>
          <w:szCs w:val="17"/>
        </w:rPr>
        <w:t>nun</w:t>
      </w:r>
      <w:proofErr w:type="spellEnd"/>
      <w:r>
        <w:rPr>
          <w:rFonts w:ascii="Verdana" w:hAnsi="Verdana" w:cs="Helvetica"/>
          <w:color w:val="333333"/>
          <w:sz w:val="17"/>
          <w:szCs w:val="17"/>
        </w:rPr>
        <w:t xml:space="preserve"> 14. Maddesi tarımsal potansiyeli yüksek büyük ovaların belirlenmesi ve korunması ile ilgilidir. Ovalarımızın korunabilmesi için, kurulların asli işlevlerinin başında gelen "Büyük ovalarda koruma ve geliştirme amaçlı tarımsal altyapı projeleri ve arazi kullanım planları kurul veya kurulların görüşü alınarak, Bakanlık ve valilikler tarafından öncelikle hazırlanır veya hazırlattırılır" hükümlerini yerine getirilmek için acilen çalışamaya başlamaları sağlanmalıdır.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6360 Sayılı Büyükşehir Yasası ile yapılan düzenlemelerin, süreç içinde topraklarımız ve özellikle meralarımız bakımından giderilmesi imkânsız sonuçlar doğuracak uygulamalara yol açacağı kaygısını taşımaktayız. Bunun somut örneği, gerek 3202 Sayılı Köye Yönelik Hizmetlere İlişkin Kanun ve gerekse 5403 Sayılı İl Özel İdaresi Kanunda yazılı görev ve sorumlulukların 6360 Sayılı yasa ile devri yapılan Büyükşehir Belediyelerinin teşkilat yapılarında ve uygulamalarında görülmektedir. Büyükşehir belediyelerinin tarımsal sulama hizmetleri başta olmak üzere tarımsal-kırsal altyapı hizmetlerini yerine getirmede isteksiz hatta kayıtsız kaldığı gözlemlenmektedir. Bu anlayış ve uygulamalar bir an önce terk edilmelidir.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6360 sayılı Büyükşehir Kanunu gereğince 30 Mart 2014</w:t>
      </w:r>
      <w:proofErr w:type="gramStart"/>
      <w:r>
        <w:rPr>
          <w:rFonts w:ascii="Verdana" w:hAnsi="Verdana" w:cs="Helvetica"/>
          <w:color w:val="333333"/>
          <w:sz w:val="17"/>
          <w:szCs w:val="17"/>
        </w:rPr>
        <w:t>`</w:t>
      </w:r>
      <w:proofErr w:type="gramEnd"/>
      <w:r>
        <w:rPr>
          <w:rFonts w:ascii="Verdana" w:hAnsi="Verdana" w:cs="Helvetica"/>
          <w:color w:val="333333"/>
          <w:sz w:val="17"/>
          <w:szCs w:val="17"/>
        </w:rPr>
        <w:t>ten sonra 16 bini aşkın köy mahalleye dönüşmüştür. Bu yerlerde köy tüzel kişiliğine ait tüm varlıklar belediyelere devredilmekte; tarım arazileri, meralar ve yaylaklar imara açılmaktadır. Böylelikle tarımsal üretimden zaten kazanç sağlayamayan çiftçilerin ellerindeki araziyi satıp üretimden çekilmeleri için zemin hazırlanmış olmaktadır.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1980-2009 yıllarını kapsayan 30 yıllık dönemde sığır varlığı %33, manda varlığı %92, koyun varlığı %55, keçi varlığı %73 düzeyinde azalmıştır. Buna karşılık 2009</w:t>
      </w:r>
      <w:proofErr w:type="gramStart"/>
      <w:r>
        <w:rPr>
          <w:rFonts w:ascii="Verdana" w:hAnsi="Verdana" w:cs="Helvetica"/>
          <w:color w:val="333333"/>
          <w:sz w:val="17"/>
          <w:szCs w:val="17"/>
        </w:rPr>
        <w:t>`</w:t>
      </w:r>
      <w:proofErr w:type="gramEnd"/>
      <w:r>
        <w:rPr>
          <w:rFonts w:ascii="Verdana" w:hAnsi="Verdana" w:cs="Helvetica"/>
          <w:color w:val="333333"/>
          <w:sz w:val="17"/>
          <w:szCs w:val="17"/>
        </w:rPr>
        <w:t xml:space="preserve">u izleyen 4 yılda sığır, manda ve koyun varlığı %35; keçi varlığı ise %80 düzeyinde artmış ya da artırılmıştır. Hayvan </w:t>
      </w:r>
      <w:proofErr w:type="gramStart"/>
      <w:r>
        <w:rPr>
          <w:rFonts w:ascii="Verdana" w:hAnsi="Verdana" w:cs="Helvetica"/>
          <w:color w:val="333333"/>
          <w:sz w:val="17"/>
          <w:szCs w:val="17"/>
        </w:rPr>
        <w:t>popülasyonumuzun</w:t>
      </w:r>
      <w:proofErr w:type="gramEnd"/>
      <w:r>
        <w:rPr>
          <w:rFonts w:ascii="Verdana" w:hAnsi="Verdana" w:cs="Helvetica"/>
          <w:color w:val="333333"/>
          <w:sz w:val="17"/>
          <w:szCs w:val="17"/>
        </w:rPr>
        <w:t xml:space="preserve"> bu kadar kısa sürede bu denli artması biyolojik olarak mümkün değildir. İthalatla artırılan sayılar ise hayvancılığımızın gelişmesi olarak ifade edilemez. Tarım istatistikleri hızla daha güvenilir bir hale getirilmelidir.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 xml:space="preserve">Gayri safi yurtiçi </w:t>
      </w:r>
      <w:proofErr w:type="gramStart"/>
      <w:r>
        <w:rPr>
          <w:rFonts w:ascii="Verdana" w:hAnsi="Verdana" w:cs="Helvetica"/>
          <w:color w:val="333333"/>
          <w:sz w:val="17"/>
          <w:szCs w:val="17"/>
        </w:rPr>
        <w:t>hasıla</w:t>
      </w:r>
      <w:proofErr w:type="gramEnd"/>
      <w:r>
        <w:rPr>
          <w:rFonts w:ascii="Verdana" w:hAnsi="Verdana" w:cs="Helvetica"/>
          <w:color w:val="333333"/>
          <w:sz w:val="17"/>
          <w:szCs w:val="17"/>
        </w:rPr>
        <w:t xml:space="preserve"> 2014 yılı ikinci çeyreğinde bir önceki yılın aynı çeyreğine göre sabit fiyatlarla %2,1`</w:t>
      </w:r>
      <w:proofErr w:type="spellStart"/>
      <w:r>
        <w:rPr>
          <w:rFonts w:ascii="Verdana" w:hAnsi="Verdana" w:cs="Helvetica"/>
          <w:color w:val="333333"/>
          <w:sz w:val="17"/>
          <w:szCs w:val="17"/>
        </w:rPr>
        <w:t>lik</w:t>
      </w:r>
      <w:proofErr w:type="spellEnd"/>
      <w:r>
        <w:rPr>
          <w:rFonts w:ascii="Verdana" w:hAnsi="Verdana" w:cs="Helvetica"/>
          <w:color w:val="333333"/>
          <w:sz w:val="17"/>
          <w:szCs w:val="17"/>
        </w:rPr>
        <w:t xml:space="preserve"> artış göstermiş, yılın ilk 6 ayındaki büyüme ise %3,3 olarak gerçekleşmiştir. Buna karşılık tarım 2014 yılı ikinci çeyreğinde %1,8 oranında küçülmüş, yılın ilk 6 ayındaki büyüme ise yalnızca %0,2 olarak gerçekleşmiştir. Bu veriler tarımda yapay büyüme döneminin sonuna gelindiğini göstermektedir.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2014 yılı prim desteğinde sadece yağlık ayçiçeğinde (kilo başına 6 kuruş) ve pamukta (kilo başına 5 kuruş) artış yapılmıştır. Diğer 15 üründe ise geçtiğimiz yıl olduğu gibi bu yıl da herhangi bir artış yapılmamıştır. Tarımda koruma ve müdahale bir zorunluluktur. Aksi halde çiftçiler girdi satın alırken ve/veya ürünlerini satarken, piyasa koşullarından dolayı çift yönlü sömürüye maruz kalmaktadırlar.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Yağlık ayçiçeği tohumu destekleme fiyatları 2002-2014 döneminde %165 oranında artırılmıştır. Buna karşılık söz konusu dönemde kimyasal gübre fiyatları cinsine göre %240-%320 düzeyinde yükselmiş, karma yem ve mazot fiyatlarındaki artış ise %300</w:t>
      </w:r>
      <w:proofErr w:type="gramStart"/>
      <w:r>
        <w:rPr>
          <w:rFonts w:ascii="Verdana" w:hAnsi="Verdana" w:cs="Helvetica"/>
          <w:color w:val="333333"/>
          <w:sz w:val="17"/>
          <w:szCs w:val="17"/>
        </w:rPr>
        <w:t>`</w:t>
      </w:r>
      <w:proofErr w:type="gramEnd"/>
      <w:r>
        <w:rPr>
          <w:rFonts w:ascii="Verdana" w:hAnsi="Verdana" w:cs="Helvetica"/>
          <w:color w:val="333333"/>
          <w:sz w:val="17"/>
          <w:szCs w:val="17"/>
        </w:rPr>
        <w:t>ü bulmuştur.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lastRenderedPageBreak/>
        <w:t>30 Ağustos 2014 tarihli Bakanlar Kurulu Kararı</w:t>
      </w:r>
      <w:proofErr w:type="gramStart"/>
      <w:r>
        <w:rPr>
          <w:rFonts w:ascii="Verdana" w:hAnsi="Verdana" w:cs="Helvetica"/>
          <w:color w:val="333333"/>
          <w:sz w:val="17"/>
          <w:szCs w:val="17"/>
        </w:rPr>
        <w:t>`</w:t>
      </w:r>
      <w:proofErr w:type="spellStart"/>
      <w:proofErr w:type="gramEnd"/>
      <w:r>
        <w:rPr>
          <w:rFonts w:ascii="Verdana" w:hAnsi="Verdana" w:cs="Helvetica"/>
          <w:color w:val="333333"/>
          <w:sz w:val="17"/>
          <w:szCs w:val="17"/>
        </w:rPr>
        <w:t>na</w:t>
      </w:r>
      <w:proofErr w:type="spellEnd"/>
      <w:r>
        <w:rPr>
          <w:rFonts w:ascii="Verdana" w:hAnsi="Verdana" w:cs="Helvetica"/>
          <w:color w:val="333333"/>
          <w:sz w:val="17"/>
          <w:szCs w:val="17"/>
        </w:rPr>
        <w:t xml:space="preserve"> göre elektrik borcunu ödemeyen çiftçilerin bu borcu 2014 yılı tarımsal destekleme ödemelerinden mahsup edilecektir. Başka bir deyimle elektrik borcu olan çiftçinin tarımsal desteklemesine el konularak, elektrik firmalarına verilecektir. Hükümet bu kararı ile elektrik firmalarının tahsildarlığını üstlenmiştir.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Elektrik Piyasası Kanunu ile Zeytinciliğin Islahı ve Yabanilerin Araştırılması Hakkında Kanun Değişikliğine Dair Kanun Tasarısı ile zeytinlikler "seracılık, madencilik, elektrik üretimi, petrol ve doğalgaz arama ve işletme, konut, yol altyapı ve üstyapısı" yatırımlarına açılmak istenilmektedir. Öte yandan zeytin bahçelerinin ortalama büyüklüğünün 10 dekar olduğu ülkemizde 25 dekardan küçük zeytinliklerin zeytinlik saha olarak kabul edilmemesi, toz ve duman çıkaran tesislerin kurulmasına izin verilecek olması zeytinciliğin ölüm fermanı anlamına gelmektedir.</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6"/>
          <w:szCs w:val="16"/>
        </w:rPr>
        <w:t>19 Nisan 2014 tarihli Bakanlar Kurulu Kararına göre Toprak Mahsulleri Ofisinin (TMO) toplam 4,2 milyon ton hububat ithalatı yapabilmesi için tarife kontenjanı açılmıştır. Karara göre, TMO ihtiyaç halinde sıfır gümrük vergisi ile 2,5 milyon ton buğday, 1 milyon ton arpa, 500 bin ton mısır ve 200 bin ton pirinç ithal edebilecektir.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Gıda, Tarım ve Hayvancılık Bakanlığı Hayvancılık Genel Müdürlüğü, besilik dana ithalatında uygulanacak şartları belirlemiştir. Hastalık nedeniyle yasak konulan ülkeler dışında kalan tüm ülkelerden besilik dana ithalatı yapılabilecek; işletmesinde 100 baş hayvanı olmayanların başvuruları dikkate alınmayacaktır. Ayrıca 100 baş hayvan sahibi kişi veya işletme en çok 40 baş besi hayvanı ithal edebilecektir.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 xml:space="preserve">Hayvan ithalatından sonra sırada zincirin son halkası olan süt ithalatı vardır. Süt sanayicileri </w:t>
      </w:r>
      <w:proofErr w:type="gramStart"/>
      <w:r>
        <w:rPr>
          <w:rFonts w:ascii="Verdana" w:hAnsi="Verdana" w:cs="Helvetica"/>
          <w:color w:val="333333"/>
          <w:sz w:val="17"/>
          <w:szCs w:val="17"/>
        </w:rPr>
        <w:t>Dahilde</w:t>
      </w:r>
      <w:proofErr w:type="gramEnd"/>
      <w:r>
        <w:rPr>
          <w:rFonts w:ascii="Verdana" w:hAnsi="Verdana" w:cs="Helvetica"/>
          <w:color w:val="333333"/>
          <w:sz w:val="17"/>
          <w:szCs w:val="17"/>
        </w:rPr>
        <w:t xml:space="preserve"> İşleme Rejimi (DİR) kapsamında yurtdışından süt ithal edebilecekler. Gerek canlı hayvan, gerekse süt ithalatına ilişkin kararların hayvancılığı tümüyle dışa bağımlı hale getireceği, üretici fiyatlarını baskılayacağı ve sektörü geri dönüşü olmayacak şekilde olumsuz etkileyeceği konusunda yetkilileri uyarmak istiyoruz.</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Soma faciası sonrasında iş güvenliği ve işçi sağlığını daha iyi duruma getirme iddiası ile çıkarılan ve 11 Eylül 2014 tarihinde yayımlanan 6552 sayılı Kanunda 4342 sayılı Mera Kanunu</w:t>
      </w:r>
      <w:proofErr w:type="gramStart"/>
      <w:r>
        <w:rPr>
          <w:rFonts w:ascii="Verdana" w:hAnsi="Verdana" w:cs="Helvetica"/>
          <w:color w:val="333333"/>
          <w:sz w:val="17"/>
          <w:szCs w:val="17"/>
        </w:rPr>
        <w:t>`</w:t>
      </w:r>
      <w:proofErr w:type="spellStart"/>
      <w:proofErr w:type="gramEnd"/>
      <w:r>
        <w:rPr>
          <w:rFonts w:ascii="Verdana" w:hAnsi="Verdana" w:cs="Helvetica"/>
          <w:color w:val="333333"/>
          <w:sz w:val="17"/>
          <w:szCs w:val="17"/>
        </w:rPr>
        <w:t>nun</w:t>
      </w:r>
      <w:proofErr w:type="spellEnd"/>
      <w:r>
        <w:rPr>
          <w:rFonts w:ascii="Verdana" w:hAnsi="Verdana" w:cs="Helvetica"/>
          <w:color w:val="333333"/>
          <w:sz w:val="17"/>
          <w:szCs w:val="17"/>
        </w:rPr>
        <w:t xml:space="preserve"> 14. maddesinin birinci fıkrasına bir bent eklenmiştir. Buna göre "Bakanlar Kurulunca kentsel dönüşüm ve gelişim proje alanı olarak ilan edilen" yerlerin tahsis amacı değiştirilebilecek (mera amacı dışında kullanılabilecek), kentsel dönüşüm adı altında betonlaşacak, kentleşecektir. Hayvancılığını geliştirmek isteyen bir ülkenin meralarını kentsel </w:t>
      </w:r>
      <w:proofErr w:type="gramStart"/>
      <w:r>
        <w:rPr>
          <w:rFonts w:ascii="Verdana" w:hAnsi="Verdana" w:cs="Helvetica"/>
          <w:color w:val="333333"/>
          <w:sz w:val="17"/>
          <w:szCs w:val="17"/>
        </w:rPr>
        <w:t>ranta</w:t>
      </w:r>
      <w:proofErr w:type="gramEnd"/>
      <w:r>
        <w:rPr>
          <w:rFonts w:ascii="Verdana" w:hAnsi="Verdana" w:cs="Helvetica"/>
          <w:color w:val="333333"/>
          <w:sz w:val="17"/>
          <w:szCs w:val="17"/>
        </w:rPr>
        <w:t xml:space="preserve"> açması değil, meralarını ıslah edip ot kalitelerini yükseltmesi gerekir.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 xml:space="preserve">Başta Ege bölgemiz olmak üzere jeotermal kaynaklarımızdan faydalanmaya yönelik çabalar hız kazanmıştır. Ancak bu kaynakların kullanımı sırasında ortaya çıkacak kirlilik ve </w:t>
      </w:r>
      <w:proofErr w:type="gramStart"/>
      <w:r>
        <w:rPr>
          <w:rFonts w:ascii="Verdana" w:hAnsi="Verdana" w:cs="Helvetica"/>
          <w:color w:val="333333"/>
          <w:sz w:val="17"/>
          <w:szCs w:val="17"/>
        </w:rPr>
        <w:t>ekolojik dengeye</w:t>
      </w:r>
      <w:proofErr w:type="gramEnd"/>
      <w:r>
        <w:rPr>
          <w:rFonts w:ascii="Verdana" w:hAnsi="Verdana" w:cs="Helvetica"/>
          <w:color w:val="333333"/>
          <w:sz w:val="17"/>
          <w:szCs w:val="17"/>
        </w:rPr>
        <w:t xml:space="preserve"> olan etkisi göz ardı edilmemelidir.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Nüfusumuzun 2003 yılında 70,8 milyon olduğu dönemde çiftçi sayımız 3 milyon iken, 2013 yılında 77 milyona yükselmesine rağmen çiftçi sayısı 2 milyona düşmüştür. Buna paralel olarak son 10 yıllık dönemde 30 milyon dekar arazi (Belçika</w:t>
      </w:r>
      <w:proofErr w:type="gramStart"/>
      <w:r>
        <w:rPr>
          <w:rFonts w:ascii="Verdana" w:hAnsi="Verdana" w:cs="Helvetica"/>
          <w:color w:val="333333"/>
          <w:sz w:val="17"/>
          <w:szCs w:val="17"/>
        </w:rPr>
        <w:t>`</w:t>
      </w:r>
      <w:proofErr w:type="spellStart"/>
      <w:proofErr w:type="gramEnd"/>
      <w:r>
        <w:rPr>
          <w:rFonts w:ascii="Verdana" w:hAnsi="Verdana" w:cs="Helvetica"/>
          <w:color w:val="333333"/>
          <w:sz w:val="17"/>
          <w:szCs w:val="17"/>
        </w:rPr>
        <w:t>nın</w:t>
      </w:r>
      <w:proofErr w:type="spellEnd"/>
      <w:r>
        <w:rPr>
          <w:rFonts w:ascii="Verdana" w:hAnsi="Verdana" w:cs="Helvetica"/>
          <w:color w:val="333333"/>
          <w:sz w:val="17"/>
          <w:szCs w:val="17"/>
        </w:rPr>
        <w:t xml:space="preserve"> toplam yüzölçümüne eşdeğerdir) tarımsal üretimde kullanılmaz olmuştur.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2014 yılını "Uluslararası Aile Çiftçiliği Yılı" ilan eden Birleşmiş Milletler; açlık ve yoksullukla mücadele, gıda güvenliği ve yeterli beslenme, doğal kaynakların yönetimi, çevrenin korunması, kırsal kalkınma açısından aile çiftçiliğinin ve küçük ölçekli çiftçiliğin önemine dikkat çekmektedir. Türkiye</w:t>
      </w:r>
      <w:proofErr w:type="gramStart"/>
      <w:r>
        <w:rPr>
          <w:rFonts w:ascii="Verdana" w:hAnsi="Verdana" w:cs="Helvetica"/>
          <w:color w:val="333333"/>
          <w:sz w:val="17"/>
          <w:szCs w:val="17"/>
        </w:rPr>
        <w:t>`</w:t>
      </w:r>
      <w:proofErr w:type="gramEnd"/>
      <w:r>
        <w:rPr>
          <w:rFonts w:ascii="Verdana" w:hAnsi="Verdana" w:cs="Helvetica"/>
          <w:color w:val="333333"/>
          <w:sz w:val="17"/>
          <w:szCs w:val="17"/>
        </w:rPr>
        <w:t>de son yarım yüzyıldır uygulanmakta olan emek karşıtı politikalarla aile çiftçiliği ve küçük ölçekli çiftçilik büyük ölçüde erimiştir. Böylesi bir yapıya direnmek için küçük ölçekli çiftçilerin güçlerini birleştirmeleri büyük önem kazanmaktadır.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7"/>
          <w:szCs w:val="17"/>
        </w:rPr>
      </w:pPr>
      <w:r>
        <w:rPr>
          <w:rFonts w:ascii="Verdana" w:hAnsi="Verdana" w:cs="Helvetica"/>
          <w:color w:val="333333"/>
          <w:sz w:val="17"/>
          <w:szCs w:val="17"/>
        </w:rPr>
        <w:t>Gıda fiyatlarının, ortalama enflasyonun üzerine çıkarak %15 oranında artması, uygulanan tarım ve gıda politikalarının yanlışlığını kanıtlamaktadır. Tüketicinin gıdaya erişimi giderek zorlaşırken, sektördeki özelleştirmeler ve gıda güvenilirliğini tehdit eden uygulamalar, yaşanan sıkıntıları daha da artırmaktadır.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6"/>
          <w:szCs w:val="16"/>
        </w:rPr>
      </w:pPr>
      <w:r>
        <w:rPr>
          <w:rFonts w:ascii="Verdana" w:hAnsi="Verdana" w:cs="Helvetica"/>
          <w:color w:val="333333"/>
          <w:sz w:val="17"/>
          <w:szCs w:val="17"/>
        </w:rPr>
        <w:t>Tüm bu uygulamalar Ziraat Mühendisleri Odamız çatısı altında örgütlü bulunan mühendisliklerin de istihdam alanlarını daraltmakta ve sektördeki sorunları çözümsüz kılmaktadır. ODA</w:t>
      </w:r>
      <w:proofErr w:type="gramStart"/>
      <w:r>
        <w:rPr>
          <w:rFonts w:ascii="Verdana" w:hAnsi="Verdana" w:cs="Helvetica"/>
          <w:color w:val="333333"/>
          <w:sz w:val="17"/>
          <w:szCs w:val="17"/>
        </w:rPr>
        <w:t>`</w:t>
      </w:r>
      <w:proofErr w:type="spellStart"/>
      <w:proofErr w:type="gramEnd"/>
      <w:r>
        <w:rPr>
          <w:rFonts w:ascii="Verdana" w:hAnsi="Verdana" w:cs="Helvetica"/>
          <w:color w:val="333333"/>
          <w:sz w:val="17"/>
          <w:szCs w:val="17"/>
        </w:rPr>
        <w:t>mız</w:t>
      </w:r>
      <w:proofErr w:type="spellEnd"/>
      <w:r>
        <w:rPr>
          <w:rFonts w:ascii="Verdana" w:hAnsi="Verdana" w:cs="Helvetica"/>
          <w:color w:val="333333"/>
          <w:sz w:val="17"/>
          <w:szCs w:val="17"/>
        </w:rPr>
        <w:t xml:space="preserve"> meslektaşlarımızın özlük hakları ve istihdamı konusunda kuracağı komisyonlarla hızlı çözümler elde etmek üzere çalışmalarını sürdürecektir.</w:t>
      </w:r>
      <w:r>
        <w:rPr>
          <w:rFonts w:ascii="Verdana" w:hAnsi="Verdana" w:cs="Helvetica"/>
          <w:color w:val="333333"/>
          <w:sz w:val="16"/>
          <w:szCs w:val="16"/>
        </w:rPr>
        <w:t> </w:t>
      </w:r>
    </w:p>
    <w:p w:rsidR="00740EC4" w:rsidRDefault="00740EC4" w:rsidP="00740EC4">
      <w:pPr>
        <w:pStyle w:val="yiv4653788345msonormal"/>
        <w:spacing w:after="0" w:afterAutospacing="0"/>
        <w:jc w:val="both"/>
        <w:rPr>
          <w:rFonts w:ascii="Verdana" w:hAnsi="Verdana" w:cs="Helvetica"/>
          <w:color w:val="333333"/>
          <w:sz w:val="16"/>
          <w:szCs w:val="16"/>
        </w:rPr>
      </w:pPr>
    </w:p>
    <w:p w:rsidR="00740EC4" w:rsidRDefault="00740EC4" w:rsidP="00740EC4">
      <w:pPr>
        <w:pStyle w:val="yiv4653788345msonormal"/>
        <w:spacing w:after="0" w:afterAutospacing="0"/>
        <w:jc w:val="both"/>
        <w:rPr>
          <w:rFonts w:ascii="Verdana" w:hAnsi="Verdana" w:cs="Helvetica"/>
          <w:color w:val="333333"/>
          <w:sz w:val="16"/>
          <w:szCs w:val="16"/>
        </w:rPr>
      </w:pPr>
    </w:p>
    <w:p w:rsidR="00740EC4" w:rsidRDefault="00740EC4" w:rsidP="00740EC4">
      <w:pPr>
        <w:pStyle w:val="yiv4653788345msonormal"/>
        <w:spacing w:before="0" w:beforeAutospacing="0" w:after="0" w:afterAutospacing="0"/>
        <w:jc w:val="both"/>
        <w:rPr>
          <w:rFonts w:ascii="Verdana" w:hAnsi="Verdana" w:cs="Helvetica"/>
          <w:color w:val="333333"/>
          <w:sz w:val="22"/>
          <w:szCs w:val="22"/>
        </w:rPr>
      </w:pPr>
      <w:r>
        <w:rPr>
          <w:rFonts w:ascii="Verdana" w:hAnsi="Verdana" w:cs="Helvetica"/>
          <w:color w:val="333333"/>
          <w:sz w:val="16"/>
          <w:szCs w:val="16"/>
        </w:rPr>
        <w:t xml:space="preserve">                                                                                                                                            </w:t>
      </w:r>
      <w:r w:rsidRPr="00740EC4">
        <w:rPr>
          <w:rFonts w:ascii="Verdana" w:hAnsi="Verdana" w:cs="Helvetica"/>
          <w:color w:val="333333"/>
          <w:sz w:val="22"/>
          <w:szCs w:val="22"/>
        </w:rPr>
        <w:t xml:space="preserve">Şube Başkanı                                                                                                    </w:t>
      </w:r>
      <w:r>
        <w:rPr>
          <w:rFonts w:ascii="Verdana" w:hAnsi="Verdana" w:cs="Helvetica"/>
          <w:color w:val="333333"/>
          <w:sz w:val="22"/>
          <w:szCs w:val="22"/>
        </w:rPr>
        <w:t xml:space="preserve">                                               </w:t>
      </w:r>
    </w:p>
    <w:p w:rsidR="00740EC4" w:rsidRDefault="00740EC4" w:rsidP="00740EC4">
      <w:pPr>
        <w:pStyle w:val="yiv4653788345msonormal"/>
        <w:spacing w:before="0" w:beforeAutospacing="0" w:after="0" w:afterAutospacing="0"/>
        <w:jc w:val="both"/>
        <w:rPr>
          <w:rFonts w:ascii="Verdana" w:hAnsi="Verdana" w:cs="Helvetica"/>
          <w:color w:val="333333"/>
          <w:sz w:val="16"/>
          <w:szCs w:val="16"/>
        </w:rPr>
      </w:pPr>
      <w:r>
        <w:rPr>
          <w:rFonts w:ascii="Verdana" w:hAnsi="Verdana" w:cs="Helvetica"/>
          <w:color w:val="333333"/>
          <w:sz w:val="22"/>
          <w:szCs w:val="22"/>
        </w:rPr>
        <w:t xml:space="preserve">                                                                                                     </w:t>
      </w:r>
      <w:r w:rsidRPr="00740EC4">
        <w:rPr>
          <w:rFonts w:ascii="Verdana" w:hAnsi="Verdana" w:cs="Helvetica"/>
          <w:color w:val="333333"/>
          <w:sz w:val="22"/>
          <w:szCs w:val="22"/>
        </w:rPr>
        <w:t>O.Tuğrul KUZU</w:t>
      </w:r>
    </w:p>
    <w:p w:rsidR="00740EC4" w:rsidRDefault="00740EC4" w:rsidP="00740EC4">
      <w:pPr>
        <w:pStyle w:val="yiv4653788345msonormal"/>
        <w:spacing w:before="0" w:beforeAutospacing="0" w:after="0" w:afterAutospacing="0"/>
        <w:jc w:val="both"/>
        <w:rPr>
          <w:rFonts w:ascii="Verdana" w:hAnsi="Verdana" w:cs="Helvetica"/>
          <w:color w:val="333333"/>
          <w:sz w:val="17"/>
          <w:szCs w:val="17"/>
        </w:rPr>
      </w:pPr>
      <w:r>
        <w:rPr>
          <w:rFonts w:ascii="Verdana" w:hAnsi="Verdana" w:cs="Helvetica"/>
          <w:color w:val="333333"/>
          <w:sz w:val="16"/>
          <w:szCs w:val="16"/>
        </w:rPr>
        <w:t xml:space="preserve">                                                                                         </w:t>
      </w:r>
    </w:p>
    <w:p w:rsidR="00C55A7A" w:rsidRDefault="00C55A7A" w:rsidP="00740EC4">
      <w:pPr>
        <w:jc w:val="both"/>
      </w:pPr>
    </w:p>
    <w:sectPr w:rsidR="00C55A7A" w:rsidSect="00740EC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40EC4"/>
    <w:rsid w:val="00740EC4"/>
    <w:rsid w:val="00C55A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40EC4"/>
    <w:rPr>
      <w:b w:val="0"/>
      <w:bCs w:val="0"/>
      <w:i w:val="0"/>
      <w:iCs w:val="0"/>
    </w:rPr>
  </w:style>
  <w:style w:type="paragraph" w:styleId="NormalWeb">
    <w:name w:val="Normal (Web)"/>
    <w:basedOn w:val="Normal"/>
    <w:uiPriority w:val="99"/>
    <w:semiHidden/>
    <w:unhideWhenUsed/>
    <w:rsid w:val="00740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53788345msonormal">
    <w:name w:val="yiv4653788345msonormal"/>
    <w:basedOn w:val="Normal"/>
    <w:rsid w:val="00740E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2014-11-10T12:03:00Z</dcterms:created>
  <dcterms:modified xsi:type="dcterms:W3CDTF">2014-11-10T12:08:00Z</dcterms:modified>
</cp:coreProperties>
</file>